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Rabu, 16 Juni 2021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ind w:left="0" w:hanging="2"/>
        <w:jc w:val="both"/>
        <w:rPr>
          <w:rFonts w:ascii="Arial" w:cs="Arial" w:eastAsia="Arial" w:hAnsi="Arial"/>
        </w:rPr>
      </w:pPr>
      <w:r w:rsidDel="00000000" w:rsidR="00000000" w:rsidRPr="00000000">
        <w:rPr>
          <w:rFonts w:ascii="Arial" w:cs="Arial" w:eastAsia="Arial" w:hAnsi="Arial"/>
          <w:rtl w:val="0"/>
        </w:rPr>
        <w:t xml:space="preserve">Artikel Hukum:</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ind w:left="0" w:hanging="2"/>
        <w:jc w:val="center"/>
        <w:rPr>
          <w:rFonts w:ascii="Arial" w:cs="Arial" w:eastAsia="Arial" w:hAnsi="Arial"/>
          <w:b w:val="1"/>
        </w:rPr>
      </w:pPr>
      <w:r w:rsidDel="00000000" w:rsidR="00000000" w:rsidRPr="00000000">
        <w:rPr>
          <w:rFonts w:ascii="Arial" w:cs="Arial" w:eastAsia="Arial" w:hAnsi="Arial"/>
          <w:b w:val="1"/>
          <w:rtl w:val="0"/>
        </w:rPr>
        <w:t xml:space="preserve">MEMAHAMI “SIDANG PERTAMA” PASCA PUTUSAN MAHKAMAH KONSTITUSI NOMOR 102/PUU-XIII/2005 TENTANG GUGURNYA PRAPERADILAN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Perbedaan penafsiran Pasal 82 (1) d KUHAP terkait penentuan gugurnya permohonan Praperadilan telah diputus oleh Mahkamah Konstitusi (MK) dalam putusan Nomor 102/PUU-XIII/2005. Dalam putusan tersebut MK menegaskan “</w:t>
      </w:r>
      <w:r w:rsidDel="00000000" w:rsidR="00000000" w:rsidRPr="00000000">
        <w:rPr>
          <w:rFonts w:ascii="Arial" w:cs="Arial" w:eastAsia="Arial" w:hAnsi="Arial"/>
          <w:i w:val="1"/>
          <w:sz w:val="24"/>
          <w:szCs w:val="24"/>
          <w:rtl w:val="0"/>
        </w:rPr>
        <w:t xml:space="preserve">permintaan Praperadilan dinyatakan gugur ketika telah dimulainya sidang pertama terhadap pokok perkara yang dimohonkan Praperadilan.”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Dalam putusan tersebut, apa yang dimaksud dengan sidang pertama? apakah cukup sampai pemeriksaan identitas terdakwa atau harus sampai pembacaan surat dakwaan?, atau saat sidang pertamakali dibuka yang ditandai dengan ketukan palu?, putusan MK tidak menjelaskan tentang hal tersebut sehingga ada kemungkinan terjadi perbedaan pendapat.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Persoalan tersebut menjadi semakin rumit karena di masa Pandemi Covid-19, persidangan dilakukan secara </w:t>
      </w:r>
      <w:r w:rsidDel="00000000" w:rsidR="00000000" w:rsidRPr="00000000">
        <w:rPr>
          <w:rFonts w:ascii="Arial" w:cs="Arial" w:eastAsia="Arial" w:hAnsi="Arial"/>
          <w:i w:val="1"/>
          <w:sz w:val="24"/>
          <w:szCs w:val="24"/>
          <w:rtl w:val="0"/>
        </w:rPr>
        <w:t xml:space="preserve">video conference</w:t>
      </w:r>
      <w:r w:rsidDel="00000000" w:rsidR="00000000" w:rsidRPr="00000000">
        <w:rPr>
          <w:rFonts w:ascii="Arial" w:cs="Arial" w:eastAsia="Arial" w:hAnsi="Arial"/>
          <w:sz w:val="24"/>
          <w:szCs w:val="24"/>
          <w:rtl w:val="0"/>
        </w:rPr>
        <w:t xml:space="preserve"> dan saat sidang pertama adakalanya gambar atau suara tidak jelas sehingga sidang terpaksa ditunda. Atau karena sebab lain seperti, terdakwa tidak hadir sehingga hakim memerintahkan penuntut umum menghadirkan terdakwa secara paksa, atau terdakwa belum siap dengan penasihat hukumnya sehingga dakwaan belum bisa dibacakan. Intinya, banyak kemungkinan alasan yang membuat sidang pertama tidak bisa dilaksanakan sesuai acara yang telah ditetapkan.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Sehubungan dengan “sidang pertama”, KUHAP mencantumkan sebagai berikut:</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Pasal 152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276" w:hanging="427"/>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(1) Dalam hal pengadilan negeri menerima surat pelimpahan perkara dan berpendapat bahwa perkara itu termasuk wewenangnya, ketua pengadilan menunjuk hakim yang akan menyidangkan perkara tersebut dan hakim yang ditunjuk itu menetapkan hari sidang.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ind w:left="1276" w:hanging="427"/>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 Hakim dalam menetapkan hari sidang sebagaimana dimaksud dalam ayat (1) memerintahkan kepada penuntut umum supaya memanggil terdakwa dan saksi untuk datang di sidang pengadilan.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Dari ketentuan tersebut diketahui bahwa hari sidang pertama adalah hari sidang yang pertama kali dilaksanakan berdasarkan surat penetapan hakim. Jika ternyata persidangan tersebut tidak bisa dilaksanakan sesuai acara yang ditetapkan, sidang yang telah dilaksanakan tersebut tetap disebut sidang pertama, sedangkan penundaan sidangnya KUHAP menyebutnya dengan “sidang pertama berikutnya” (lihat Pasal 154 ayat 6);</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Dari paparan di atas dapat dipahami, yang dimaksud dengan sidang pertama adalah sidang yang pertama kali dilaksanakan berdasarkan surat penetapan hakim;</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ind w:left="-2" w:firstLine="85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Deny Ikhwan, S.H., M.H. </w:t>
      </w:r>
    </w:p>
    <w:p w:rsidR="00000000" w:rsidDel="00000000" w:rsidP="00000000" w:rsidRDefault="00000000" w:rsidRPr="00000000" w14:paraId="00000014">
      <w:pPr>
        <w:spacing w:after="0" w:line="36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Hakim Pengadilan Negeri/Tipikor/ PHI/Perikanan Pontianak</w:t>
      </w:r>
    </w:p>
    <w:p w:rsidR="00000000" w:rsidDel="00000000" w:rsidP="00000000" w:rsidRDefault="00000000" w:rsidRPr="00000000" w14:paraId="00000015">
      <w:pPr>
        <w:spacing w:after="0" w:line="24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Telp. (0561) 734100 – Fax. (0561) 763214-763196</w:t>
      </w:r>
    </w:p>
    <w:p w:rsidR="00000000" w:rsidDel="00000000" w:rsidP="00000000" w:rsidRDefault="00000000" w:rsidRPr="00000000" w14:paraId="00000016">
      <w:pPr>
        <w:spacing w:after="0" w:line="24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Website: </w:t>
      </w:r>
      <w:hyperlink r:id="rId6">
        <w:r w:rsidDel="00000000" w:rsidR="00000000" w:rsidRPr="00000000">
          <w:rPr>
            <w:rFonts w:ascii="Arial" w:cs="Arial" w:eastAsia="Arial" w:hAnsi="Arial"/>
            <w:sz w:val="24"/>
            <w:szCs w:val="24"/>
            <w:rtl w:val="0"/>
          </w:rPr>
          <w:t xml:space="preserve">www.pn-pontianak.go.id</w:t>
        </w:r>
      </w:hyperlink>
      <w:r w:rsidDel="00000000" w:rsidR="00000000" w:rsidRPr="00000000">
        <w:rPr>
          <w:rtl w:val="0"/>
        </w:rPr>
      </w:r>
    </w:p>
    <w:p w:rsidR="00000000" w:rsidDel="00000000" w:rsidP="00000000" w:rsidRDefault="00000000" w:rsidRPr="00000000" w14:paraId="00000017">
      <w:pPr>
        <w:spacing w:after="0" w:line="24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hyperlink r:id="rId7">
        <w:r w:rsidDel="00000000" w:rsidR="00000000" w:rsidRPr="00000000">
          <w:rPr>
            <w:rFonts w:ascii="Arial" w:cs="Arial" w:eastAsia="Arial" w:hAnsi="Arial"/>
            <w:color w:val="0000ff"/>
            <w:sz w:val="24"/>
            <w:szCs w:val="24"/>
            <w:u w:val="single"/>
            <w:rtl w:val="0"/>
          </w:rPr>
          <w:t xml:space="preserve">pengadilannegeriptk@gmail.com</w:t>
        </w:r>
      </w:hyperlink>
      <w:r w:rsidDel="00000000" w:rsidR="00000000" w:rsidRPr="00000000">
        <w:rPr>
          <w:rtl w:val="0"/>
        </w:rPr>
      </w:r>
    </w:p>
    <w:p w:rsidR="00000000" w:rsidDel="00000000" w:rsidP="00000000" w:rsidRDefault="00000000" w:rsidRPr="00000000" w14:paraId="00000018">
      <w:pPr>
        <w:spacing w:after="0" w:line="24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Instagram: pn_pontianak</w:t>
      </w:r>
    </w:p>
    <w:p w:rsidR="00000000" w:rsidDel="00000000" w:rsidP="00000000" w:rsidRDefault="00000000" w:rsidRPr="00000000" w14:paraId="00000019">
      <w:pPr>
        <w:spacing w:after="0" w:line="240" w:lineRule="auto"/>
        <w:ind w:left="0" w:hanging="2"/>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Youtube: Pengadilan Negeri Pontianak</w:t>
      </w:r>
    </w:p>
    <w:sectPr>
      <w:pgSz w:h="18711" w:w="12242" w:orient="portrait"/>
      <w:pgMar w:bottom="1701" w:top="1701" w:left="2835" w:right="851" w:header="680"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ID"/>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n-purwokerto.go.id" TargetMode="External"/><Relationship Id="rId7" Type="http://schemas.openxmlformats.org/officeDocument/2006/relationships/hyperlink" Target="mailto:pengadilannegeript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